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AB" w:rsidRPr="00E03318" w:rsidRDefault="00FB6417" w:rsidP="00E03318">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742/21.&#10;Subject Codes: JEUN 133.&#10;Heading: DOPIS.&#10;Originator: Generalni sekretariat Sveta.&#10;Recipient: Odbor stalnih predstavnikov/Svet.&#10;Subject: Zaščita in ustvarjanje državljanskih prostorov za mlade, ki omogočajo participacijo, s katero bodo lahko mladi pustili svoj pečat – orientacijska razprava (Javna razprava v skladu s členom 8(2) Poslovnika Sveta) [na predlog predsedstva].&#10;Commission Document Number: Not Set.&#10;Preceeding Document Number: Not Set.&#10;Location: Bruselj.&#10;Date: 12. november 2021.&#10;Interinstitutional Files: Not Set.&#10;Institutional Framework: Svet Evropske unije.&#10;Language: SL.&#10;Distribution Code: LIMITE.&#10;GUID: 5655948490233092791_0" style="width:568.5pt;height:372.75pt">
            <v:imagedata r:id="rId8" o:title=""/>
          </v:shape>
        </w:pict>
      </w:r>
      <w:bookmarkEnd w:id="0"/>
    </w:p>
    <w:p w:rsidR="005637D5" w:rsidRPr="00C7787F" w:rsidRDefault="005637D5" w:rsidP="00FB6417">
      <w:pPr>
        <w:rPr>
          <w:rFonts w:asciiTheme="majorBidi" w:hAnsiTheme="majorBidi" w:cstheme="majorBidi"/>
        </w:rPr>
      </w:pPr>
      <w:r w:rsidRPr="00C7787F">
        <w:rPr>
          <w:u w:val="single"/>
        </w:rPr>
        <w:t>Predsedstvo</w:t>
      </w:r>
      <w:r w:rsidRPr="00C7787F">
        <w:t xml:space="preserve"> je po posvetovanju na neformalni videokonferenci članov Delovne skupine za mladino pripravilo priloženi informativni dokument, ki bo podlaga za orientacijsko razpravo na zasedanju Sveta za izobraževanje, </w:t>
      </w:r>
      <w:r w:rsidRPr="00C7787F">
        <w:rPr>
          <w:u w:val="single"/>
        </w:rPr>
        <w:t>mladino</w:t>
      </w:r>
      <w:r w:rsidRPr="00C7787F">
        <w:t>, kulturo in šport 29. in 30. novembra 2021.</w:t>
      </w:r>
    </w:p>
    <w:p w:rsidR="00C92CE8" w:rsidRPr="00C7787F" w:rsidRDefault="00C92CE8" w:rsidP="00C92CE8">
      <w:pPr>
        <w:pStyle w:val="FinalLine"/>
      </w:pPr>
    </w:p>
    <w:p w:rsidR="00C92CE8" w:rsidRPr="00C7787F" w:rsidRDefault="00C92CE8" w:rsidP="00C92CE8">
      <w:pPr>
        <w:sectPr w:rsidR="00C92CE8" w:rsidRPr="00C7787F" w:rsidSect="00FB6417">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rsidR="00C92CE8" w:rsidRPr="00C7787F" w:rsidRDefault="00C92CE8" w:rsidP="00C92CE8">
      <w:pPr>
        <w:pStyle w:val="Annex"/>
      </w:pPr>
      <w:r w:rsidRPr="00C7787F">
        <w:lastRenderedPageBreak/>
        <w:t>PRILOGA</w:t>
      </w:r>
    </w:p>
    <w:p w:rsidR="00B9567F" w:rsidRPr="00C7787F" w:rsidRDefault="00B9567F" w:rsidP="00B9567F">
      <w:pPr>
        <w:pStyle w:val="NormalCentered"/>
        <w:rPr>
          <w:b/>
          <w:bCs/>
        </w:rPr>
      </w:pPr>
      <w:r w:rsidRPr="00C7787F">
        <w:rPr>
          <w:b/>
          <w:bCs/>
        </w:rPr>
        <w:t>Zaščita in ustvarjanje državljanskih prostorov za mlade, ki omogočajo participacijo, s katero bodo lahko mladi pustili svoj pečat</w:t>
      </w:r>
    </w:p>
    <w:p w:rsidR="00B9567F" w:rsidRPr="00C7787F" w:rsidRDefault="00B9567F" w:rsidP="00B9567F">
      <w:pPr>
        <w:pStyle w:val="NormalCentered"/>
        <w:rPr>
          <w:i/>
        </w:rPr>
      </w:pPr>
      <w:r w:rsidRPr="00C7787F">
        <w:rPr>
          <w:i/>
        </w:rPr>
        <w:t>Dokument za orientacijsko razpravo</w:t>
      </w:r>
    </w:p>
    <w:p w:rsidR="00B9567F" w:rsidRPr="00C7787F" w:rsidRDefault="00B9567F" w:rsidP="00B9567F">
      <w:pPr>
        <w:rPr>
          <w:u w:val="single"/>
        </w:rPr>
      </w:pPr>
      <w:r w:rsidRPr="00C7787F">
        <w:rPr>
          <w:u w:val="single"/>
        </w:rPr>
        <w:t>Relevantnost in opredelitev državljanskih prostorov</w:t>
      </w:r>
    </w:p>
    <w:p w:rsidR="00B9567F" w:rsidRPr="00C7787F" w:rsidRDefault="00B9567F" w:rsidP="00A9708B">
      <w:r w:rsidRPr="00C7787F">
        <w:t>Na ravni EU obstaja splošno soglasje, da bi morali biti mladi socialno in državljansko angažirani, da bi morali biti vključeni v oblikovanje, izvajanje in spremljanje javnih politik ter da bi bilo treba za to zagotoviti sredstva</w:t>
      </w:r>
      <w:r w:rsidR="00454074" w:rsidRPr="00C7787F">
        <w:rPr>
          <w:rStyle w:val="FootnoteReference"/>
        </w:rPr>
        <w:footnoteReference w:id="1"/>
      </w:r>
      <w:r w:rsidRPr="00C7787F">
        <w:t>. Jasno je tudi, da je treba še naprej spodbujati in promovirati sodelovanje mladih v demokratičnih procesih v Evropi.</w:t>
      </w:r>
      <w:r w:rsidR="00454074" w:rsidRPr="00C7787F">
        <w:rPr>
          <w:rStyle w:val="FootnoteReference"/>
        </w:rPr>
        <w:footnoteReference w:id="2"/>
      </w:r>
      <w:r w:rsidRPr="00C7787F">
        <w:rPr>
          <w:rStyle w:val="FootnoteReference"/>
        </w:rPr>
        <w:footnoteReference w:id="3"/>
      </w:r>
      <w:r w:rsidRPr="00C7787F">
        <w:t xml:space="preserve"> Zagotavljanje namenskih prostorov za mlade na vseh področjih družbe ima pomembno vlogo pri vključevanju mladih. To pomeni, da je treba zagotoviti fizične prostore in infrastrukture, ki jih vodijo mladi, da bi s tem spodbudili njihovo participacijo in jim zagotovili varne virtualne prostore za dostop do ustreznih informacij ter storitve zanje, kot tudi priložnosti za njihovo participacijo.</w:t>
      </w:r>
      <w:r w:rsidR="00454074" w:rsidRPr="00C7787F">
        <w:rPr>
          <w:rStyle w:val="FootnoteReference"/>
        </w:rPr>
        <w:footnoteReference w:id="4"/>
      </w:r>
    </w:p>
    <w:p w:rsidR="00B9567F" w:rsidRPr="00C7787F" w:rsidRDefault="00CF1B49" w:rsidP="00A9708B">
      <w:pPr>
        <w:rPr>
          <w:vertAlign w:val="superscript"/>
        </w:rPr>
      </w:pPr>
      <w:r w:rsidRPr="00C7787F">
        <w:br w:type="page"/>
      </w:r>
      <w:r w:rsidRPr="00C7787F">
        <w:lastRenderedPageBreak/>
        <w:t>Državljanski prostori so platforme za državljansko delovanje in temeljijo na treh osnovnih državljanskih svoboščinah, ki državljanom omogočajo razpravo in izmenjavo informacij (tj. svobodo izražanja, združevanja in mirnega zbiranja). Z dejavnostmi, kot so ustanavljanje združenj, razpravljanje o vprašanjih javnega interesa, organizacija spletnih in nespletnih srečanj ter sodelovanje pri javnem odločanju, se državljanski prostori uporabljajo za reševanje skupnih težav in izboljšanje življenja. Zaščita in učinkovito zagotavljanje dinamičnih in odprtih državljanskih prostorov za mlade je zato ključni element stabilne in cvetoče demokracije, ki želi zaščititi raznolikost, gojiti strpnost in zagotavljati temeljne človekove pravice za vse člane družbe.</w:t>
      </w:r>
      <w:r w:rsidR="00454074" w:rsidRPr="00C7787F">
        <w:rPr>
          <w:rStyle w:val="FootnoteReference"/>
        </w:rPr>
        <w:footnoteReference w:id="5"/>
      </w:r>
    </w:p>
    <w:p w:rsidR="00B9567F" w:rsidRPr="00C7787F" w:rsidRDefault="00B9567F" w:rsidP="00B9567F">
      <w:r w:rsidRPr="00C7787F">
        <w:t>Odprti državljanski prostori mladim omogočajo, da si izmenjujejo izkušnje in prevzamejo dejavno vlogo v skupnosti, kar jim omogoča, da se družijo, delijo svoje interese ter ukrepajo posamično in skupaj, da bi vplivali na politike in jih oblikovali. Povečano zanimanje za državljansko angažiranje mladih je ključnega pomena, saj je družbeni napredek mladih odvisen od tega, ali lahko uveljavljajo svoje temeljne državljanske svoboščine, pa tudi od strpnega in vključujočega okolja ter ustreznih izobraževalnih priložnosti. Državljanski prostori za mlade so okolje, v katerem se spodbuja participacija mladih v državljanskem delovanju; so poti, strukture in sredstva, ki mladim omogočajo, da se vključijo v kritično razpravo, dialog in ukrepanje. Pojem državljanskih prostorov za mlade vključuje formalne in neformalne platforme, kjer lahko poteka državljansko angažiranje mladih. Ob tem ne smemo pozabiti, da izkušnje, pridobljene na teh platformah, prispevajo k razvoju mladih kot državljanskih akterjev.</w:t>
      </w:r>
    </w:p>
    <w:p w:rsidR="00B9567F" w:rsidRPr="00C7787F" w:rsidRDefault="00CF1B49" w:rsidP="00B9567F">
      <w:pPr>
        <w:rPr>
          <w:u w:val="single"/>
        </w:rPr>
      </w:pPr>
      <w:r w:rsidRPr="00C7787F">
        <w:br w:type="page"/>
      </w:r>
      <w:r w:rsidRPr="00C7787F">
        <w:rPr>
          <w:u w:val="single"/>
        </w:rPr>
        <w:lastRenderedPageBreak/>
        <w:t>Trend krčenja državljanskih prostorov</w:t>
      </w:r>
    </w:p>
    <w:p w:rsidR="00B9567F" w:rsidRPr="00C7787F" w:rsidRDefault="00B9567F" w:rsidP="00A9708B">
      <w:r w:rsidRPr="00C7787F">
        <w:t>Čeprav so zgoraj navedene utemeljitve, v katerih je na splošno poudarjena zaščita in promocija temeljnih človekovih pravic in demokracije, nesporno relevantne, smo priča splošnemu trendu zmanjševanja državljanskih prostorov zaradi vrste implicitnih in eksplicitnih procesov, ki vplivajo na organizacije in posameznike. Ti procesi za organizacije pomenijo vrsto omejitev, zaradi katerih morajo zmanjšati svoje zmogljivosti, na primer uvedba dodatnih upravnih postopkov, ki ustvarjajo dodatno birokracijo, uvedba politik omejevanja svobode izražanja (na spletu in drugje), zbiranja in združevanja, kriminalizacija in delegitimizacija zagovornikov človekovih pravic, nasilni napadi na organizacije civilne družbe in njihove predstavnike, nadomeščanje organizacij civilne družbe z drugimi akterji, negativni diskurz v javnih razpravah in večja pojavnost tržnih kazalnikov pri ocenjevanju dela organizacij civilne družbe</w:t>
      </w:r>
      <w:r w:rsidRPr="00C7787F">
        <w:rPr>
          <w:rStyle w:val="FootnoteReference"/>
        </w:rPr>
        <w:footnoteReference w:id="6"/>
      </w:r>
      <w:r w:rsidRPr="00C7787F">
        <w:t>.</w:t>
      </w:r>
    </w:p>
    <w:p w:rsidR="00B9567F" w:rsidRPr="00C7787F" w:rsidRDefault="00B9567F" w:rsidP="00A9708B">
      <w:r w:rsidRPr="00C7787F">
        <w:t>Pomembni vladni in nevladni akterji v mednarodni skupnosti, ki se ukvarjajo s tem vprašanjem (npr. EU, Svet Evrope, Civicus in Amnesty International), se zavedajo, da so državljanski prostori ogroženi, in pozivajo k ukrepanju. Vendar v nasprotju z drugimi podobnimi trendi ta široki vzorec krčenja državljanskih prostorov vpliva na države ne glede na njihove tradicionalne značilnosti, kot so demokratična tradicija, družbenopolitični kontekst, gospodarska oblika ali geografska lega.</w:t>
      </w:r>
      <w:r w:rsidR="00454074" w:rsidRPr="00C7787F">
        <w:rPr>
          <w:rStyle w:val="FootnoteReference"/>
        </w:rPr>
        <w:footnoteReference w:id="7"/>
      </w:r>
      <w:r w:rsidRPr="00C7787F">
        <w:t xml:space="preserve"> To kaže na težnjo h krčenju državljanskih prostorov v uveljavljenih demokracijah, najpogosteje v imenu krepitve javne varnosti in zaščite.</w:t>
      </w:r>
    </w:p>
    <w:p w:rsidR="00B9567F" w:rsidRPr="00C7787F" w:rsidRDefault="00B9567F" w:rsidP="00A9708B">
      <w:r w:rsidRPr="00C7787F">
        <w:br w:type="page"/>
      </w:r>
      <w:r w:rsidRPr="00C7787F">
        <w:lastRenderedPageBreak/>
        <w:t>Kjer se zmanjšuje sistemska zmogljivost za spodbujanje demokratičnega državljanstva, povečuje nezaupanje v politične institucije in zmanjšuje stopnja participacije v institucionalni politiki</w:t>
      </w:r>
      <w:r w:rsidRPr="00C7787F">
        <w:rPr>
          <w:rStyle w:val="FootnoteReference"/>
        </w:rPr>
        <w:footnoteReference w:id="8"/>
      </w:r>
      <w:r w:rsidRPr="00C7787F">
        <w:t>, krčenje državljanskih prostorov vzbuja več pomembnih pomislekov. To negativno vpliva na gospodarsko, politično in družbeno angažiranje mladih, predvsem kadar sovpada z različnimi ranljivostmi, ki povzročajo socialno izključenost. Zaradi tega medsebojnega vpliva različnih dejavnikov so mladi najbolj ranljiva družbena skupina, na katero vpliva krčenje državljanskih prostorov. Hkrati je treba poudariti, da so izkušnje mladih homogene, saj so odvisne od različnih med seboj povezanih in prekrivajočih se sistemov prednosti in pomanjkljivosti, ki temeljijo na spolu, spolni usmerjenosti, etnični, kulturni, verski identiteti itd. Razširitev državljanskega prostora, ki se je pojavila z inovacijami, povezanimi z informacijsko in komunikacijsko tehnologijo (IKT), je zagotovila širši nabor priložnosti za okrepitev glasu mladih in drugih ogroženih družbenih skupin, predvsem v smislu izmenjave informacij, mobilizacije, ozaveščanja itd.,</w:t>
      </w:r>
      <w:r w:rsidRPr="00C7787F">
        <w:rPr>
          <w:rStyle w:val="FootnoteReference"/>
        </w:rPr>
        <w:footnoteReference w:id="9"/>
      </w:r>
      <w:r w:rsidRPr="00C7787F">
        <w:t xml:space="preserve"> vendar so bila orodja IKT hkrati pomembna pri uveljavljanju nadzora, spletne cenzure, kontroliranja, ustrahovanja, kriminalizacije nestrinjanja</w:t>
      </w:r>
      <w:r w:rsidRPr="00C7787F">
        <w:rPr>
          <w:rStyle w:val="FootnoteReference"/>
        </w:rPr>
        <w:footnoteReference w:id="10"/>
      </w:r>
      <w:r w:rsidRPr="00C7787F">
        <w:t xml:space="preserve"> kot tudi komercialnih dejavnosti, ki dajejo prednost dobičku pred javnim dobrim.</w:t>
      </w:r>
      <w:r w:rsidR="00454074" w:rsidRPr="00C7787F">
        <w:rPr>
          <w:rStyle w:val="FootnoteReference"/>
        </w:rPr>
        <w:footnoteReference w:id="11"/>
      </w:r>
    </w:p>
    <w:p w:rsidR="00B9567F" w:rsidRPr="00C7787F" w:rsidRDefault="00CF1B49" w:rsidP="00B9567F">
      <w:pPr>
        <w:rPr>
          <w:u w:val="single"/>
        </w:rPr>
      </w:pPr>
      <w:r w:rsidRPr="00C7787F">
        <w:br w:type="page"/>
      </w:r>
      <w:r w:rsidRPr="00C7787F">
        <w:rPr>
          <w:u w:val="single"/>
        </w:rPr>
        <w:lastRenderedPageBreak/>
        <w:t>Dokazi s terena</w:t>
      </w:r>
    </w:p>
    <w:p w:rsidR="00B9567F" w:rsidRPr="00C7787F" w:rsidRDefault="00B9567F" w:rsidP="00A9708B">
      <w:r w:rsidRPr="00C7787F">
        <w:t>Iz izsledkov študij in rezultatov različnih posvetovanj je razvidno, da se mladi in mladinske organizacije soočajo z resnimi izzivi, ko si prizadevajo za uveljavljanje temeljnih državljanskih svoboščin.</w:t>
      </w:r>
      <w:r w:rsidR="00454074" w:rsidRPr="00C7787F">
        <w:rPr>
          <w:rStyle w:val="FootnoteReference"/>
        </w:rPr>
        <w:footnoteReference w:id="12"/>
      </w:r>
      <w:r w:rsidRPr="00C7787F">
        <w:t xml:space="preserve"> Organizacije poročajo, da je svoboda obveščanja in izražanja ogrožena, saj imajo težave pri dostopu do vladnih informacij; pogosto imajo tudi težave pri izražanju zaradi strahu pred povračilnimi ukrepi in se celo soočajo z izzivi v zvezi s svobodno uporabo interneta. Soočajo se tudi z izzivi pri uveljavljanju svojih pravic do zbiranja in združevanja, saj imajo težave pri organizaciji javnih zborovanj in se bojijo povračilnih ukrepov, če v njih sodelujejo. Organizacije se srečujejo tudi z ovirami pri dostopu do financiranja in pojavom tržno usmerjenih kazalnikov, ki delujejo kot velika ovira pri izpolnjevanju njihovih nalog. V prizadevanju za zagotovitev in olajševanje participacije državljanov tako niso v celoti sposobne sodelovati pri dejavnostih zagovorništva in imajo vsaj nekaj težav pri sodelovanju v postopkih posvetovanja in odločanja. Nasploh se zdi, da na izid posvetovanj nikakor ne morejo vplivati oziroma lahko vplivajo le v manjši meri; natančneje, velika večina organizacij nikoli ni povabljena k sodelovanju pri oblikovanju javnih politik oziroma se to zgodi le redko. Mladi po drugi strani poudarjajo, da jim mora proces oblikovanja politik zagotoviti več priložnosti za soustvarjanje agende, vplivanje na odločitve in sporočanje povratnih informacij o učinkovitosti sprejetih odločitev, dati priložnost, da se glas mladih sliši dlje, položaj mladinskih organizacij pa okrepi, ter da se vlaga v izobraževanje, usmerjeno v kritično razmišljanje in sposobnost obvladovanja napačnih, nepopolnih in uporabniku neprijaznih informacij. Mladi so tudi navedli, da so potrebni mehanizmi, s katerimi bi politike bolje seznanili s skrbmi mladih; učinkovitejša spletna in nespletna orodja, ki bi mladim z manj priložnostmi zagotovila popoln dostop do političnega procesa; boljše in popolnejše informacije o spletnih in nespletnih državljanskih prostorih, ki so jim na voljo, ter usposabljanja za demokratično in spoštljivo angažiranje v teh mladinskih državljanskih prostorih. Mladi so navedli tudi, da je potrebnih več fizičnih državljanskih prostorov.</w:t>
      </w:r>
    </w:p>
    <w:p w:rsidR="00B9567F" w:rsidRPr="00C7787F" w:rsidRDefault="00CF1B49" w:rsidP="00B9567F">
      <w:pPr>
        <w:rPr>
          <w:u w:val="single"/>
        </w:rPr>
      </w:pPr>
      <w:r w:rsidRPr="00C7787F">
        <w:br w:type="page"/>
      </w:r>
      <w:r w:rsidRPr="00C7787F">
        <w:rPr>
          <w:u w:val="single"/>
        </w:rPr>
        <w:t>Vprašanja za razpravo</w:t>
      </w:r>
    </w:p>
    <w:p w:rsidR="00B9567F" w:rsidRPr="00C7787F" w:rsidRDefault="00B9567F" w:rsidP="001B1777">
      <w:pPr>
        <w:pStyle w:val="Point1231"/>
        <w:numPr>
          <w:ilvl w:val="2"/>
          <w:numId w:val="1"/>
        </w:numPr>
      </w:pPr>
      <w:r w:rsidRPr="00C7787F">
        <w:t>Kako lahko organi na različnih ravneh zaščitijo in dodatno podprejo državljanske prostore za mlade?</w:t>
      </w:r>
    </w:p>
    <w:p w:rsidR="00B9567F" w:rsidRPr="00C7787F" w:rsidRDefault="00B9567F" w:rsidP="00B9567F">
      <w:pPr>
        <w:pStyle w:val="Point1231"/>
        <w:rPr>
          <w:rFonts w:eastAsia="Calibri"/>
        </w:rPr>
      </w:pPr>
      <w:r w:rsidRPr="00C7787F">
        <w:t>Kaj lahko storijo javni organi, da bi spodbudili razmislek o učinku orodij v zasebni lasti (npr. družbenih medijev) na državljanske prostore za mlade in spodbudili ukrepe za reševanje izzivov?</w:t>
      </w:r>
    </w:p>
    <w:p w:rsidR="00772954" w:rsidRPr="002841AB" w:rsidRDefault="00772954" w:rsidP="00C92CE8">
      <w:pPr>
        <w:pStyle w:val="FinalLine"/>
      </w:pPr>
    </w:p>
    <w:sectPr w:rsidR="00772954" w:rsidRPr="002841AB" w:rsidSect="00FB6417">
      <w:headerReference w:type="default" r:id="rId15"/>
      <w:footerReference w:type="default" r:id="rId16"/>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AB" w:rsidRDefault="003821AB" w:rsidP="001B675E">
      <w:pPr>
        <w:spacing w:before="0" w:after="0" w:line="240" w:lineRule="auto"/>
      </w:pPr>
      <w:r>
        <w:separator/>
      </w:r>
    </w:p>
  </w:endnote>
  <w:endnote w:type="continuationSeparator" w:id="0">
    <w:p w:rsidR="003821AB" w:rsidRDefault="003821AB" w:rsidP="001B675E">
      <w:pPr>
        <w:spacing w:before="0" w:after="0" w:line="240" w:lineRule="auto"/>
      </w:pPr>
      <w:r>
        <w:continuationSeparator/>
      </w:r>
    </w:p>
  </w:endnote>
  <w:endnote w:type="continuationNotice" w:id="1">
    <w:p w:rsidR="003821AB" w:rsidRDefault="003821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17" w:rsidRPr="00FB6417" w:rsidRDefault="00FB6417" w:rsidP="00FB6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B6417" w:rsidRPr="00D94637" w:rsidTr="00FB6417">
      <w:trPr>
        <w:jc w:val="center"/>
      </w:trPr>
      <w:tc>
        <w:tcPr>
          <w:tcW w:w="5000" w:type="pct"/>
          <w:gridSpan w:val="7"/>
          <w:shd w:val="clear" w:color="auto" w:fill="auto"/>
          <w:tcMar>
            <w:top w:w="57" w:type="dxa"/>
          </w:tcMar>
        </w:tcPr>
        <w:p w:rsidR="00FB6417" w:rsidRPr="00D94637" w:rsidRDefault="00FB6417" w:rsidP="00D94637">
          <w:pPr>
            <w:pStyle w:val="FooterText"/>
            <w:pBdr>
              <w:top w:val="single" w:sz="4" w:space="1" w:color="auto"/>
            </w:pBdr>
            <w:spacing w:before="200"/>
            <w:rPr>
              <w:sz w:val="2"/>
              <w:szCs w:val="2"/>
            </w:rPr>
          </w:pPr>
          <w:bookmarkStart w:id="2" w:name="FOOTER_STANDARD"/>
        </w:p>
      </w:tc>
    </w:tr>
    <w:tr w:rsidR="00FB6417" w:rsidRPr="00B310DC" w:rsidTr="00FB6417">
      <w:trPr>
        <w:jc w:val="center"/>
      </w:trPr>
      <w:tc>
        <w:tcPr>
          <w:tcW w:w="2500" w:type="pct"/>
          <w:gridSpan w:val="2"/>
          <w:shd w:val="clear" w:color="auto" w:fill="auto"/>
          <w:tcMar>
            <w:top w:w="0" w:type="dxa"/>
          </w:tcMar>
        </w:tcPr>
        <w:p w:rsidR="00FB6417" w:rsidRPr="00AD7BF2" w:rsidRDefault="00FB6417" w:rsidP="004F54B2">
          <w:pPr>
            <w:pStyle w:val="FooterText"/>
          </w:pPr>
          <w:r>
            <w:t>13742/21</w:t>
          </w:r>
          <w:r w:rsidRPr="002511D8">
            <w:t xml:space="preserve"> </w:t>
          </w:r>
        </w:p>
      </w:tc>
      <w:tc>
        <w:tcPr>
          <w:tcW w:w="625" w:type="pct"/>
          <w:shd w:val="clear" w:color="auto" w:fill="auto"/>
          <w:tcMar>
            <w:top w:w="0" w:type="dxa"/>
          </w:tcMar>
        </w:tcPr>
        <w:p w:rsidR="00FB6417" w:rsidRPr="00AD7BF2" w:rsidRDefault="00FB6417" w:rsidP="00D94637">
          <w:pPr>
            <w:pStyle w:val="FooterText"/>
            <w:jc w:val="center"/>
          </w:pPr>
        </w:p>
      </w:tc>
      <w:tc>
        <w:tcPr>
          <w:tcW w:w="1286" w:type="pct"/>
          <w:gridSpan w:val="3"/>
          <w:shd w:val="clear" w:color="auto" w:fill="auto"/>
          <w:tcMar>
            <w:top w:w="0" w:type="dxa"/>
          </w:tcMar>
        </w:tcPr>
        <w:p w:rsidR="00FB6417" w:rsidRPr="002511D8" w:rsidRDefault="00FB6417" w:rsidP="00D94637">
          <w:pPr>
            <w:pStyle w:val="FooterText"/>
            <w:jc w:val="center"/>
          </w:pPr>
          <w:r>
            <w:t>bj/tal</w:t>
          </w:r>
        </w:p>
      </w:tc>
      <w:tc>
        <w:tcPr>
          <w:tcW w:w="589" w:type="pct"/>
          <w:shd w:val="clear" w:color="auto" w:fill="auto"/>
          <w:tcMar>
            <w:top w:w="0" w:type="dxa"/>
          </w:tcMar>
        </w:tcPr>
        <w:p w:rsidR="00FB6417" w:rsidRPr="00B310DC" w:rsidRDefault="00FB6417" w:rsidP="00FB6417">
          <w:pPr>
            <w:pStyle w:val="FooterText"/>
            <w:jc w:val="right"/>
          </w:pPr>
          <w:r>
            <w:fldChar w:fldCharType="begin"/>
          </w:r>
          <w:r>
            <w:instrText xml:space="preserve"> PAGE  \* MERGEFORMAT </w:instrText>
          </w:r>
          <w:r>
            <w:fldChar w:fldCharType="separate"/>
          </w:r>
          <w:r>
            <w:rPr>
              <w:noProof/>
            </w:rPr>
            <w:t>1</w:t>
          </w:r>
          <w:r>
            <w:fldChar w:fldCharType="end"/>
          </w:r>
        </w:p>
      </w:tc>
    </w:tr>
    <w:tr w:rsidR="00FB6417" w:rsidRPr="00D94637" w:rsidTr="00FB6417">
      <w:trPr>
        <w:jc w:val="center"/>
      </w:trPr>
      <w:tc>
        <w:tcPr>
          <w:tcW w:w="1774" w:type="pct"/>
          <w:shd w:val="clear" w:color="auto" w:fill="auto"/>
        </w:tcPr>
        <w:p w:rsidR="00FB6417" w:rsidRPr="00AD7BF2" w:rsidRDefault="00FB6417" w:rsidP="00D94637">
          <w:pPr>
            <w:pStyle w:val="FooterText"/>
            <w:spacing w:before="40"/>
          </w:pPr>
        </w:p>
      </w:tc>
      <w:tc>
        <w:tcPr>
          <w:tcW w:w="1455" w:type="pct"/>
          <w:gridSpan w:val="3"/>
          <w:shd w:val="clear" w:color="auto" w:fill="auto"/>
        </w:tcPr>
        <w:p w:rsidR="00FB6417" w:rsidRPr="00AD7BF2" w:rsidRDefault="00FB6417" w:rsidP="00D204D6">
          <w:pPr>
            <w:pStyle w:val="FooterText"/>
            <w:spacing w:before="40"/>
            <w:jc w:val="center"/>
          </w:pPr>
          <w:r>
            <w:t>TREE.1.B</w:t>
          </w:r>
        </w:p>
      </w:tc>
      <w:tc>
        <w:tcPr>
          <w:tcW w:w="742" w:type="pct"/>
          <w:shd w:val="clear" w:color="auto" w:fill="auto"/>
        </w:tcPr>
        <w:p w:rsidR="00FB6417" w:rsidRPr="00D94637" w:rsidRDefault="00FB6417" w:rsidP="002F0099">
          <w:pPr>
            <w:pStyle w:val="FooterText"/>
            <w:jc w:val="center"/>
            <w:rPr>
              <w:b/>
              <w:position w:val="-4"/>
              <w:sz w:val="36"/>
            </w:rPr>
          </w:pPr>
          <w:r>
            <w:rPr>
              <w:b/>
              <w:position w:val="-4"/>
              <w:sz w:val="36"/>
            </w:rPr>
            <w:t>LIMITE</w:t>
          </w:r>
        </w:p>
      </w:tc>
      <w:tc>
        <w:tcPr>
          <w:tcW w:w="1029" w:type="pct"/>
          <w:gridSpan w:val="2"/>
          <w:shd w:val="clear" w:color="auto" w:fill="auto"/>
        </w:tcPr>
        <w:p w:rsidR="00FB6417" w:rsidRPr="000310C2" w:rsidRDefault="00FB6417" w:rsidP="00D94637">
          <w:pPr>
            <w:pStyle w:val="FooterText"/>
            <w:jc w:val="right"/>
            <w:rPr>
              <w:spacing w:val="-20"/>
              <w:sz w:val="16"/>
            </w:rPr>
          </w:pPr>
          <w:r>
            <w:rPr>
              <w:b/>
              <w:spacing w:val="-20"/>
              <w:position w:val="-4"/>
              <w:sz w:val="36"/>
            </w:rPr>
            <w:t>SL</w:t>
          </w:r>
        </w:p>
      </w:tc>
    </w:tr>
    <w:bookmarkEnd w:id="2"/>
  </w:tbl>
  <w:p w:rsidR="006051B8" w:rsidRPr="00FB6417" w:rsidRDefault="006051B8" w:rsidP="00FB641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B6417" w:rsidRPr="00D94637" w:rsidTr="00FB6417">
      <w:trPr>
        <w:jc w:val="center"/>
      </w:trPr>
      <w:tc>
        <w:tcPr>
          <w:tcW w:w="5000" w:type="pct"/>
          <w:gridSpan w:val="7"/>
          <w:shd w:val="clear" w:color="auto" w:fill="auto"/>
          <w:tcMar>
            <w:top w:w="57" w:type="dxa"/>
          </w:tcMar>
        </w:tcPr>
        <w:p w:rsidR="00FB6417" w:rsidRPr="00D94637" w:rsidRDefault="00FB6417" w:rsidP="00D94637">
          <w:pPr>
            <w:pStyle w:val="FooterText"/>
            <w:pBdr>
              <w:top w:val="single" w:sz="4" w:space="1" w:color="auto"/>
            </w:pBdr>
            <w:spacing w:before="200"/>
            <w:rPr>
              <w:sz w:val="2"/>
              <w:szCs w:val="2"/>
            </w:rPr>
          </w:pPr>
        </w:p>
      </w:tc>
    </w:tr>
    <w:tr w:rsidR="00FB6417" w:rsidRPr="00B310DC" w:rsidTr="00FB6417">
      <w:trPr>
        <w:jc w:val="center"/>
      </w:trPr>
      <w:tc>
        <w:tcPr>
          <w:tcW w:w="2500" w:type="pct"/>
          <w:gridSpan w:val="2"/>
          <w:shd w:val="clear" w:color="auto" w:fill="auto"/>
          <w:tcMar>
            <w:top w:w="0" w:type="dxa"/>
          </w:tcMar>
        </w:tcPr>
        <w:p w:rsidR="00FB6417" w:rsidRPr="00AD7BF2" w:rsidRDefault="00FB6417" w:rsidP="004F54B2">
          <w:pPr>
            <w:pStyle w:val="FooterText"/>
          </w:pPr>
          <w:r>
            <w:t>13742/21</w:t>
          </w:r>
          <w:r w:rsidRPr="002511D8">
            <w:t xml:space="preserve"> </w:t>
          </w:r>
        </w:p>
      </w:tc>
      <w:tc>
        <w:tcPr>
          <w:tcW w:w="625" w:type="pct"/>
          <w:shd w:val="clear" w:color="auto" w:fill="auto"/>
          <w:tcMar>
            <w:top w:w="0" w:type="dxa"/>
          </w:tcMar>
        </w:tcPr>
        <w:p w:rsidR="00FB6417" w:rsidRPr="00AD7BF2" w:rsidRDefault="00FB6417" w:rsidP="00D94637">
          <w:pPr>
            <w:pStyle w:val="FooterText"/>
            <w:jc w:val="center"/>
          </w:pPr>
        </w:p>
      </w:tc>
      <w:tc>
        <w:tcPr>
          <w:tcW w:w="1286" w:type="pct"/>
          <w:gridSpan w:val="3"/>
          <w:shd w:val="clear" w:color="auto" w:fill="auto"/>
          <w:tcMar>
            <w:top w:w="0" w:type="dxa"/>
          </w:tcMar>
        </w:tcPr>
        <w:p w:rsidR="00FB6417" w:rsidRPr="002511D8" w:rsidRDefault="00FB6417" w:rsidP="00D94637">
          <w:pPr>
            <w:pStyle w:val="FooterText"/>
            <w:jc w:val="center"/>
          </w:pPr>
          <w:r>
            <w:t>bj/tal</w:t>
          </w:r>
        </w:p>
      </w:tc>
      <w:tc>
        <w:tcPr>
          <w:tcW w:w="589" w:type="pct"/>
          <w:shd w:val="clear" w:color="auto" w:fill="auto"/>
          <w:tcMar>
            <w:top w:w="0" w:type="dxa"/>
          </w:tcMar>
        </w:tcPr>
        <w:p w:rsidR="00FB6417" w:rsidRPr="00B310DC" w:rsidRDefault="00FB6417" w:rsidP="00FB6417">
          <w:pPr>
            <w:pStyle w:val="FooterText"/>
            <w:jc w:val="right"/>
          </w:pPr>
          <w:r>
            <w:fldChar w:fldCharType="begin"/>
          </w:r>
          <w:r>
            <w:instrText xml:space="preserve"> PAGE  \* MERGEFORMAT </w:instrText>
          </w:r>
          <w:r>
            <w:fldChar w:fldCharType="separate"/>
          </w:r>
          <w:r>
            <w:rPr>
              <w:noProof/>
            </w:rPr>
            <w:t>1</w:t>
          </w:r>
          <w:r>
            <w:fldChar w:fldCharType="end"/>
          </w:r>
        </w:p>
      </w:tc>
    </w:tr>
    <w:tr w:rsidR="00FB6417" w:rsidRPr="00D94637" w:rsidTr="00FB6417">
      <w:trPr>
        <w:jc w:val="center"/>
      </w:trPr>
      <w:tc>
        <w:tcPr>
          <w:tcW w:w="1774" w:type="pct"/>
          <w:shd w:val="clear" w:color="auto" w:fill="auto"/>
        </w:tcPr>
        <w:p w:rsidR="00FB6417" w:rsidRPr="00AD7BF2" w:rsidRDefault="00FB6417" w:rsidP="00D94637">
          <w:pPr>
            <w:pStyle w:val="FooterText"/>
            <w:spacing w:before="40"/>
          </w:pPr>
        </w:p>
      </w:tc>
      <w:tc>
        <w:tcPr>
          <w:tcW w:w="1455" w:type="pct"/>
          <w:gridSpan w:val="3"/>
          <w:shd w:val="clear" w:color="auto" w:fill="auto"/>
        </w:tcPr>
        <w:p w:rsidR="00FB6417" w:rsidRPr="00AD7BF2" w:rsidRDefault="00FB6417" w:rsidP="00D204D6">
          <w:pPr>
            <w:pStyle w:val="FooterText"/>
            <w:spacing w:before="40"/>
            <w:jc w:val="center"/>
          </w:pPr>
          <w:r>
            <w:t>TREE.1.B</w:t>
          </w:r>
        </w:p>
      </w:tc>
      <w:tc>
        <w:tcPr>
          <w:tcW w:w="742" w:type="pct"/>
          <w:shd w:val="clear" w:color="auto" w:fill="auto"/>
        </w:tcPr>
        <w:p w:rsidR="00FB6417" w:rsidRPr="00D94637" w:rsidRDefault="00FB6417" w:rsidP="002F0099">
          <w:pPr>
            <w:pStyle w:val="FooterText"/>
            <w:jc w:val="center"/>
            <w:rPr>
              <w:b/>
              <w:position w:val="-4"/>
              <w:sz w:val="36"/>
            </w:rPr>
          </w:pPr>
          <w:r>
            <w:rPr>
              <w:b/>
              <w:position w:val="-4"/>
              <w:sz w:val="36"/>
            </w:rPr>
            <w:t>LIMITE</w:t>
          </w:r>
        </w:p>
      </w:tc>
      <w:tc>
        <w:tcPr>
          <w:tcW w:w="1029" w:type="pct"/>
          <w:gridSpan w:val="2"/>
          <w:shd w:val="clear" w:color="auto" w:fill="auto"/>
        </w:tcPr>
        <w:p w:rsidR="00FB6417" w:rsidRPr="000310C2" w:rsidRDefault="00FB6417" w:rsidP="00D94637">
          <w:pPr>
            <w:pStyle w:val="FooterText"/>
            <w:jc w:val="right"/>
            <w:rPr>
              <w:spacing w:val="-20"/>
              <w:sz w:val="16"/>
            </w:rPr>
          </w:pPr>
          <w:r>
            <w:rPr>
              <w:b/>
              <w:spacing w:val="-20"/>
              <w:position w:val="-4"/>
              <w:sz w:val="36"/>
            </w:rPr>
            <w:t>SL</w:t>
          </w:r>
        </w:p>
      </w:tc>
    </w:tr>
  </w:tbl>
  <w:p w:rsidR="006051B8" w:rsidRPr="00FB6417" w:rsidRDefault="006051B8" w:rsidP="00FB6417">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B6417" w:rsidRPr="00D94637" w:rsidTr="00FB6417">
      <w:trPr>
        <w:jc w:val="center"/>
      </w:trPr>
      <w:tc>
        <w:tcPr>
          <w:tcW w:w="5000" w:type="pct"/>
          <w:gridSpan w:val="7"/>
          <w:shd w:val="clear" w:color="auto" w:fill="auto"/>
          <w:tcMar>
            <w:top w:w="57" w:type="dxa"/>
          </w:tcMar>
        </w:tcPr>
        <w:p w:rsidR="00FB6417" w:rsidRPr="00D94637" w:rsidRDefault="00FB6417" w:rsidP="00D94637">
          <w:pPr>
            <w:pStyle w:val="FooterText"/>
            <w:pBdr>
              <w:top w:val="single" w:sz="4" w:space="1" w:color="auto"/>
            </w:pBdr>
            <w:spacing w:before="200"/>
            <w:rPr>
              <w:sz w:val="2"/>
              <w:szCs w:val="2"/>
            </w:rPr>
          </w:pPr>
        </w:p>
      </w:tc>
    </w:tr>
    <w:tr w:rsidR="00FB6417" w:rsidRPr="00B310DC" w:rsidTr="00FB6417">
      <w:trPr>
        <w:jc w:val="center"/>
      </w:trPr>
      <w:tc>
        <w:tcPr>
          <w:tcW w:w="2500" w:type="pct"/>
          <w:gridSpan w:val="2"/>
          <w:shd w:val="clear" w:color="auto" w:fill="auto"/>
          <w:tcMar>
            <w:top w:w="0" w:type="dxa"/>
          </w:tcMar>
        </w:tcPr>
        <w:p w:rsidR="00FB6417" w:rsidRPr="00AD7BF2" w:rsidRDefault="00FB6417" w:rsidP="004F54B2">
          <w:pPr>
            <w:pStyle w:val="FooterText"/>
          </w:pPr>
          <w:r>
            <w:t>13742/21</w:t>
          </w:r>
          <w:r w:rsidRPr="002511D8">
            <w:t xml:space="preserve"> </w:t>
          </w:r>
        </w:p>
      </w:tc>
      <w:tc>
        <w:tcPr>
          <w:tcW w:w="625" w:type="pct"/>
          <w:shd w:val="clear" w:color="auto" w:fill="auto"/>
          <w:tcMar>
            <w:top w:w="0" w:type="dxa"/>
          </w:tcMar>
        </w:tcPr>
        <w:p w:rsidR="00FB6417" w:rsidRPr="00AD7BF2" w:rsidRDefault="00FB6417" w:rsidP="00D94637">
          <w:pPr>
            <w:pStyle w:val="FooterText"/>
            <w:jc w:val="center"/>
          </w:pPr>
        </w:p>
      </w:tc>
      <w:tc>
        <w:tcPr>
          <w:tcW w:w="1286" w:type="pct"/>
          <w:gridSpan w:val="3"/>
          <w:shd w:val="clear" w:color="auto" w:fill="auto"/>
          <w:tcMar>
            <w:top w:w="0" w:type="dxa"/>
          </w:tcMar>
        </w:tcPr>
        <w:p w:rsidR="00FB6417" w:rsidRPr="002511D8" w:rsidRDefault="00FB6417" w:rsidP="00D94637">
          <w:pPr>
            <w:pStyle w:val="FooterText"/>
            <w:jc w:val="center"/>
          </w:pPr>
          <w:r>
            <w:t>bj/tal</w:t>
          </w:r>
        </w:p>
      </w:tc>
      <w:tc>
        <w:tcPr>
          <w:tcW w:w="589" w:type="pct"/>
          <w:shd w:val="clear" w:color="auto" w:fill="auto"/>
          <w:tcMar>
            <w:top w:w="0" w:type="dxa"/>
          </w:tcMar>
        </w:tcPr>
        <w:p w:rsidR="00FB6417" w:rsidRPr="00B310DC" w:rsidRDefault="00FB6417" w:rsidP="00FB6417">
          <w:pPr>
            <w:pStyle w:val="FooterText"/>
            <w:jc w:val="right"/>
          </w:pPr>
          <w:r>
            <w:fldChar w:fldCharType="begin"/>
          </w:r>
          <w:r>
            <w:instrText xml:space="preserve"> PAGE  \* MERGEFORMAT </w:instrText>
          </w:r>
          <w:r>
            <w:fldChar w:fldCharType="separate"/>
          </w:r>
          <w:r>
            <w:rPr>
              <w:noProof/>
            </w:rPr>
            <w:t>2</w:t>
          </w:r>
          <w:r>
            <w:fldChar w:fldCharType="end"/>
          </w:r>
        </w:p>
      </w:tc>
    </w:tr>
    <w:tr w:rsidR="00FB6417" w:rsidRPr="00D94637" w:rsidTr="00FB6417">
      <w:trPr>
        <w:jc w:val="center"/>
      </w:trPr>
      <w:tc>
        <w:tcPr>
          <w:tcW w:w="1774" w:type="pct"/>
          <w:shd w:val="clear" w:color="auto" w:fill="auto"/>
        </w:tcPr>
        <w:p w:rsidR="00FB6417" w:rsidRPr="00AD7BF2" w:rsidRDefault="00FB6417" w:rsidP="00D94637">
          <w:pPr>
            <w:pStyle w:val="FooterText"/>
            <w:spacing w:before="40"/>
          </w:pPr>
          <w:r>
            <w:t>PRILOGA</w:t>
          </w:r>
        </w:p>
      </w:tc>
      <w:tc>
        <w:tcPr>
          <w:tcW w:w="1455" w:type="pct"/>
          <w:gridSpan w:val="3"/>
          <w:shd w:val="clear" w:color="auto" w:fill="auto"/>
        </w:tcPr>
        <w:p w:rsidR="00FB6417" w:rsidRPr="00AD7BF2" w:rsidRDefault="00FB6417" w:rsidP="00D204D6">
          <w:pPr>
            <w:pStyle w:val="FooterText"/>
            <w:spacing w:before="40"/>
            <w:jc w:val="center"/>
          </w:pPr>
          <w:r>
            <w:t>TREE.1.B</w:t>
          </w:r>
        </w:p>
      </w:tc>
      <w:tc>
        <w:tcPr>
          <w:tcW w:w="742" w:type="pct"/>
          <w:shd w:val="clear" w:color="auto" w:fill="auto"/>
        </w:tcPr>
        <w:p w:rsidR="00FB6417" w:rsidRPr="00D94637" w:rsidRDefault="00FB6417" w:rsidP="002F0099">
          <w:pPr>
            <w:pStyle w:val="FooterText"/>
            <w:jc w:val="center"/>
            <w:rPr>
              <w:b/>
              <w:position w:val="-4"/>
              <w:sz w:val="36"/>
            </w:rPr>
          </w:pPr>
          <w:r>
            <w:rPr>
              <w:b/>
              <w:position w:val="-4"/>
              <w:sz w:val="36"/>
            </w:rPr>
            <w:t>LIMITE</w:t>
          </w:r>
        </w:p>
      </w:tc>
      <w:tc>
        <w:tcPr>
          <w:tcW w:w="1029" w:type="pct"/>
          <w:gridSpan w:val="2"/>
          <w:shd w:val="clear" w:color="auto" w:fill="auto"/>
        </w:tcPr>
        <w:p w:rsidR="00FB6417" w:rsidRPr="000310C2" w:rsidRDefault="00FB6417" w:rsidP="00D94637">
          <w:pPr>
            <w:pStyle w:val="FooterText"/>
            <w:jc w:val="right"/>
            <w:rPr>
              <w:spacing w:val="-20"/>
              <w:sz w:val="16"/>
            </w:rPr>
          </w:pPr>
          <w:r>
            <w:rPr>
              <w:b/>
              <w:spacing w:val="-20"/>
              <w:position w:val="-4"/>
              <w:sz w:val="36"/>
            </w:rPr>
            <w:t>SL</w:t>
          </w:r>
        </w:p>
      </w:tc>
    </w:tr>
  </w:tbl>
  <w:p w:rsidR="00C92CE8" w:rsidRPr="00FB6417" w:rsidRDefault="00C92CE8" w:rsidP="00FB6417">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AB" w:rsidRDefault="003821AB" w:rsidP="008D3C9A">
      <w:pPr>
        <w:spacing w:before="0" w:after="0" w:line="240" w:lineRule="auto"/>
      </w:pPr>
      <w:r>
        <w:separator/>
      </w:r>
    </w:p>
  </w:footnote>
  <w:footnote w:type="continuationSeparator" w:id="0">
    <w:p w:rsidR="003821AB" w:rsidRDefault="003821AB" w:rsidP="00EC3B25">
      <w:pPr>
        <w:spacing w:before="0" w:after="0" w:line="240" w:lineRule="auto"/>
      </w:pPr>
      <w:r>
        <w:continuationSeparator/>
      </w:r>
    </w:p>
  </w:footnote>
  <w:footnote w:id="1">
    <w:p w:rsidR="00454074" w:rsidRPr="00C7787F" w:rsidRDefault="00454074" w:rsidP="00A9708B">
      <w:pPr>
        <w:pStyle w:val="FootnoteText"/>
      </w:pPr>
      <w:r w:rsidRPr="00C7787F">
        <w:rPr>
          <w:rStyle w:val="FootnoteReference"/>
        </w:rPr>
        <w:footnoteRef/>
      </w:r>
      <w:r w:rsidRPr="00C7787F">
        <w:tab/>
        <w:t>Resolucija Sveta Evropske unije in predstavnikov vlad držav članic, ki so se sestali v okviru Sveta, o okviru za evropsko sodelovanje na področju mladine: strategija Evropske unije za mlade 2019–2027 (2018/C 456/01, 18.12.2018, str. 2, 3)</w:t>
      </w:r>
    </w:p>
  </w:footnote>
  <w:footnote w:id="2">
    <w:p w:rsidR="00454074" w:rsidRPr="00C7787F" w:rsidRDefault="00454074" w:rsidP="00A9708B">
      <w:pPr>
        <w:pStyle w:val="FootnoteText"/>
      </w:pPr>
      <w:r w:rsidRPr="00C7787F">
        <w:rPr>
          <w:rStyle w:val="FootnoteReference"/>
        </w:rPr>
        <w:footnoteRef/>
      </w:r>
      <w:r w:rsidRPr="00C7787F">
        <w:tab/>
        <w:t>Resolucija Sveta o spodbujanju politične participacije mladih v demokratičnem življenju v Evropi</w:t>
      </w:r>
    </w:p>
  </w:footnote>
  <w:footnote w:id="3">
    <w:p w:rsidR="00B9567F" w:rsidRPr="00C7787F" w:rsidRDefault="00B9567F" w:rsidP="00A9708B">
      <w:pPr>
        <w:pStyle w:val="FootnoteText"/>
      </w:pPr>
      <w:r w:rsidRPr="00C7787F">
        <w:rPr>
          <w:rStyle w:val="FootnoteReference"/>
        </w:rPr>
        <w:footnoteRef/>
      </w:r>
      <w:r w:rsidRPr="00C7787F">
        <w:tab/>
        <w:t>Sklepi Sveta in predstavnikov vlad držav članic, ki so se sestali v okviru Sveta, o spodbujanju demokratične ozaveščenosti in demokratičnega udejstvovanja mladih v Evropi</w:t>
      </w:r>
    </w:p>
  </w:footnote>
  <w:footnote w:id="4">
    <w:p w:rsidR="00454074" w:rsidRPr="00C7787F" w:rsidRDefault="00454074" w:rsidP="001B1777">
      <w:pPr>
        <w:pStyle w:val="FootnoteText"/>
      </w:pPr>
      <w:r w:rsidRPr="00C7787F">
        <w:rPr>
          <w:rStyle w:val="FootnoteReference"/>
        </w:rPr>
        <w:footnoteRef/>
      </w:r>
      <w:r w:rsidRPr="00C7787F">
        <w:tab/>
        <w:t>Evropski cilj mladih št. 9: Prostor in participacija za vse Evropski cilji mladih. Na voljo na https://youth-goals.eu/yg9.</w:t>
      </w:r>
    </w:p>
  </w:footnote>
  <w:footnote w:id="5">
    <w:p w:rsidR="00454074" w:rsidRPr="00C7787F" w:rsidRDefault="00454074" w:rsidP="00454074">
      <w:pPr>
        <w:pStyle w:val="FootnoteText"/>
      </w:pPr>
      <w:r w:rsidRPr="00C7787F">
        <w:rPr>
          <w:rStyle w:val="FootnoteReference"/>
        </w:rPr>
        <w:footnoteRef/>
      </w:r>
      <w:r w:rsidRPr="00C7787F">
        <w:tab/>
        <w:t xml:space="preserve">Glej </w:t>
      </w:r>
      <w:r w:rsidRPr="00C7787F">
        <w:rPr>
          <w:i/>
        </w:rPr>
        <w:t>Safeguarding Civic Space For Young People In Europe</w:t>
      </w:r>
      <w:r w:rsidRPr="00C7787F">
        <w:t xml:space="preserve"> (Bruselj: Evropski mladinski forum); </w:t>
      </w:r>
      <w:r w:rsidRPr="00C7787F">
        <w:rPr>
          <w:i/>
          <w:iCs/>
        </w:rPr>
        <w:t>Civic space watch</w:t>
      </w:r>
      <w:r w:rsidRPr="00C7787F">
        <w:t xml:space="preserve"> (</w:t>
      </w:r>
      <w:hyperlink r:id="rId1" w:history="1">
        <w:r w:rsidRPr="00C7787F">
          <w:rPr>
            <w:color w:val="000000"/>
            <w:sz w:val="20"/>
            <w:u w:val="single"/>
          </w:rPr>
          <w:t>https://civicspacewatch.eu</w:t>
        </w:r>
      </w:hyperlink>
      <w:r w:rsidRPr="00C7787F">
        <w:t>).</w:t>
      </w:r>
    </w:p>
  </w:footnote>
  <w:footnote w:id="6">
    <w:p w:rsidR="00B9567F" w:rsidRPr="00C7787F" w:rsidRDefault="00B9567F" w:rsidP="00A9708B">
      <w:pPr>
        <w:pStyle w:val="FootnoteText"/>
      </w:pPr>
      <w:r w:rsidRPr="00C7787F">
        <w:rPr>
          <w:rStyle w:val="FootnoteReference"/>
        </w:rPr>
        <w:footnoteRef/>
      </w:r>
      <w:r w:rsidRPr="00C7787F">
        <w:tab/>
        <w:t xml:space="preserve">Glej na primer </w:t>
      </w:r>
      <w:r w:rsidRPr="00C7787F">
        <w:rPr>
          <w:i/>
        </w:rPr>
        <w:t>Protecting Civic Space in the EU</w:t>
      </w:r>
      <w:r w:rsidRPr="00C7787F">
        <w:t xml:space="preserve"> (Agencija Evropske unije za temeljne pravice, 2021).</w:t>
      </w:r>
    </w:p>
  </w:footnote>
  <w:footnote w:id="7">
    <w:p w:rsidR="00454074" w:rsidRPr="00C7787F" w:rsidRDefault="00454074" w:rsidP="00A9708B">
      <w:pPr>
        <w:pStyle w:val="FootnoteText"/>
      </w:pPr>
      <w:r w:rsidRPr="00C7787F">
        <w:rPr>
          <w:rStyle w:val="FootnoteReference"/>
        </w:rPr>
        <w:footnoteRef/>
      </w:r>
      <w:r w:rsidRPr="00C7787F">
        <w:tab/>
        <w:t>Krčenje prostora za civilno družbo: Odziv EU (Evropski parlament, 2017).</w:t>
      </w:r>
    </w:p>
  </w:footnote>
  <w:footnote w:id="8">
    <w:p w:rsidR="00B9567F" w:rsidRPr="00C7787F" w:rsidRDefault="00B9567F" w:rsidP="00A9708B">
      <w:pPr>
        <w:pStyle w:val="FootnoteText"/>
      </w:pPr>
      <w:r w:rsidRPr="00C7787F">
        <w:rPr>
          <w:rStyle w:val="FootnoteReference"/>
        </w:rPr>
        <w:footnoteRef/>
      </w:r>
      <w:r w:rsidRPr="00C7787F">
        <w:tab/>
        <w:t xml:space="preserve">Npr. </w:t>
      </w:r>
      <w:r w:rsidRPr="00C7787F">
        <w:rPr>
          <w:i/>
        </w:rPr>
        <w:t>ICCS 2016 International Report</w:t>
      </w:r>
      <w:r w:rsidRPr="00C7787F">
        <w:t xml:space="preserve"> (IEA, 2016); </w:t>
      </w:r>
      <w:r w:rsidRPr="00C7787F">
        <w:rPr>
          <w:i/>
        </w:rPr>
        <w:t>Engaging and Empowering Youth in OECD Countries – How to Bridge the »Governance Gap«</w:t>
      </w:r>
      <w:r w:rsidRPr="00C7787F">
        <w:t xml:space="preserve"> (OECD, 2018).</w:t>
      </w:r>
    </w:p>
  </w:footnote>
  <w:footnote w:id="9">
    <w:p w:rsidR="00B9567F" w:rsidRPr="00C7787F" w:rsidRDefault="00B9567F" w:rsidP="00A9708B">
      <w:pPr>
        <w:pStyle w:val="FootnoteText"/>
      </w:pPr>
      <w:r w:rsidRPr="00C7787F">
        <w:rPr>
          <w:rStyle w:val="FootnoteReference"/>
        </w:rPr>
        <w:footnoteRef/>
      </w:r>
      <w:r w:rsidRPr="00C7787F">
        <w:tab/>
      </w:r>
      <w:r w:rsidRPr="00C7787F">
        <w:rPr>
          <w:i/>
        </w:rPr>
        <w:t>UN World Youth Report</w:t>
      </w:r>
      <w:r w:rsidRPr="00C7787F">
        <w:t xml:space="preserve"> (OZN, 2016).</w:t>
      </w:r>
    </w:p>
  </w:footnote>
  <w:footnote w:id="10">
    <w:p w:rsidR="00B9567F" w:rsidRPr="00C7787F" w:rsidRDefault="00B9567F" w:rsidP="00A9708B">
      <w:pPr>
        <w:pStyle w:val="FootnoteText"/>
      </w:pPr>
      <w:r w:rsidRPr="00C7787F">
        <w:rPr>
          <w:rStyle w:val="FootnoteReference"/>
        </w:rPr>
        <w:footnoteRef/>
      </w:r>
      <w:r w:rsidRPr="00C7787F">
        <w:tab/>
      </w:r>
      <w:r w:rsidRPr="00C7787F">
        <w:rPr>
          <w:i/>
        </w:rPr>
        <w:t>Human Rights Watch's 2016 World report</w:t>
      </w:r>
      <w:r w:rsidRPr="00C7787F">
        <w:t xml:space="preserve"> (Human Rights Watch, 2016).</w:t>
      </w:r>
    </w:p>
  </w:footnote>
  <w:footnote w:id="11">
    <w:p w:rsidR="00454074" w:rsidRPr="00C7787F" w:rsidRDefault="00454074" w:rsidP="00454074">
      <w:pPr>
        <w:pStyle w:val="FootnoteText"/>
      </w:pPr>
      <w:r w:rsidRPr="00C7787F">
        <w:rPr>
          <w:rStyle w:val="FootnoteReference"/>
        </w:rPr>
        <w:footnoteRef/>
      </w:r>
      <w:r w:rsidRPr="00C7787F">
        <w:tab/>
        <w:t xml:space="preserve">Npr. </w:t>
      </w:r>
      <w:hyperlink r:id="rId2" w:history="1">
        <w:r w:rsidRPr="00C7787F">
          <w:rPr>
            <w:color w:val="0000FF" w:themeColor="hyperlink"/>
            <w:sz w:val="20"/>
            <w:u w:val="single"/>
          </w:rPr>
          <w:t>https://www.theguardian.com/technology/2021/oct/04/facebook-tearing-our-societies-apart-key-excerpts-from-a-whistleblower-frances-haugen</w:t>
        </w:r>
      </w:hyperlink>
      <w:r w:rsidRPr="00C7787F">
        <w:t xml:space="preserve">; glej tudi Vaidhyanathan (2018). Antisocial Media: </w:t>
      </w:r>
      <w:r w:rsidRPr="00C7787F">
        <w:rPr>
          <w:i/>
        </w:rPr>
        <w:t>How Facebook Disconnects Us and Undermines Democracy.</w:t>
      </w:r>
      <w:r w:rsidRPr="00C7787F">
        <w:t xml:space="preserve"> New York: Oxford University Press.</w:t>
      </w:r>
    </w:p>
  </w:footnote>
  <w:footnote w:id="12">
    <w:p w:rsidR="00454074" w:rsidRPr="00C7787F" w:rsidRDefault="00454074" w:rsidP="00A9708B">
      <w:pPr>
        <w:pStyle w:val="FootnoteText"/>
      </w:pPr>
      <w:r w:rsidRPr="00C7787F">
        <w:rPr>
          <w:rStyle w:val="FootnoteReference"/>
        </w:rPr>
        <w:footnoteRef/>
      </w:r>
      <w:r w:rsidRPr="00C7787F">
        <w:rPr>
          <w:vertAlign w:val="superscript"/>
        </w:rPr>
        <w:tab/>
      </w:r>
      <w:r w:rsidRPr="00C7787F">
        <w:rPr>
          <w:i/>
        </w:rPr>
        <w:t>Safeguarding civic space for young people in Europe</w:t>
      </w:r>
      <w:r w:rsidRPr="00C7787F">
        <w:t xml:space="preserve"> (European Youth Forum, 2019); Osmi cikel procesa mladinskega dialoga EU: Prostor in participacija za vse, poročilo o raziskavi med mladimi (Evropska komisija,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17" w:rsidRPr="00FB6417" w:rsidRDefault="00FB6417" w:rsidP="00FB6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AB" w:rsidRPr="00FB6417" w:rsidRDefault="00FB6417" w:rsidP="00FB641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AB" w:rsidRPr="00FB6417" w:rsidRDefault="00FB6417" w:rsidP="00FB6417">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CE8" w:rsidRPr="00FB6417" w:rsidRDefault="00C92CE8" w:rsidP="00FB6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5"/>
  </w:num>
  <w:num w:numId="5">
    <w:abstractNumId w:val="11"/>
  </w:num>
  <w:num w:numId="6">
    <w:abstractNumId w:val="2"/>
  </w:num>
  <w:num w:numId="7">
    <w:abstractNumId w:val="17"/>
  </w:num>
  <w:num w:numId="8">
    <w:abstractNumId w:val="19"/>
  </w:num>
  <w:num w:numId="9">
    <w:abstractNumId w:val="9"/>
  </w:num>
  <w:num w:numId="10">
    <w:abstractNumId w:val="16"/>
  </w:num>
  <w:num w:numId="11">
    <w:abstractNumId w:val="12"/>
  </w:num>
  <w:num w:numId="12">
    <w:abstractNumId w:val="8"/>
  </w:num>
  <w:num w:numId="13">
    <w:abstractNumId w:val="5"/>
  </w:num>
  <w:num w:numId="14">
    <w:abstractNumId w:val="4"/>
  </w:num>
  <w:num w:numId="15">
    <w:abstractNumId w:val="13"/>
  </w:num>
  <w:num w:numId="16">
    <w:abstractNumId w:val="18"/>
  </w:num>
  <w:num w:numId="17">
    <w:abstractNumId w:val="0"/>
  </w:num>
  <w:num w:numId="18">
    <w:abstractNumId w:val="6"/>
  </w:num>
  <w:num w:numId="19">
    <w:abstractNumId w:val="3"/>
  </w:num>
  <w:num w:numId="20">
    <w:abstractNumId w:val="7"/>
  </w:num>
  <w:num w:numId="21">
    <w:abstractNumId w:val="10"/>
  </w:num>
  <w:num w:numId="22">
    <w:abstractNumId w:val="14"/>
  </w:num>
  <w:num w:numId="23">
    <w:abstractNumId w:val="1"/>
  </w:num>
  <w:num w:numId="24">
    <w:abstractNumId w:val="15"/>
  </w:num>
  <w:num w:numId="25">
    <w:abstractNumId w:val="11"/>
  </w:num>
  <w:num w:numId="26">
    <w:abstractNumId w:val="2"/>
  </w:num>
  <w:num w:numId="27">
    <w:abstractNumId w:val="17"/>
  </w:num>
  <w:num w:numId="28">
    <w:abstractNumId w:val="19"/>
  </w:num>
  <w:num w:numId="29">
    <w:abstractNumId w:val="9"/>
  </w:num>
  <w:num w:numId="30">
    <w:abstractNumId w:val="16"/>
  </w:num>
  <w:num w:numId="31">
    <w:abstractNumId w:val="12"/>
  </w:num>
  <w:num w:numId="32">
    <w:abstractNumId w:val="8"/>
  </w:num>
  <w:num w:numId="33">
    <w:abstractNumId w:val="5"/>
  </w:num>
  <w:num w:numId="34">
    <w:abstractNumId w:val="4"/>
  </w:num>
  <w:num w:numId="35">
    <w:abstractNumId w:val="13"/>
  </w:num>
  <w:num w:numId="36">
    <w:abstractNumId w:val="18"/>
  </w:num>
  <w:num w:numId="37">
    <w:abstractNumId w:val="0"/>
  </w:num>
  <w:num w:numId="38">
    <w:abstractNumId w:val="6"/>
  </w:num>
  <w:num w:numId="39">
    <w:abstractNumId w:val="3"/>
  </w:num>
  <w:num w:numId="40">
    <w:abstractNumId w:val="7"/>
  </w:num>
  <w:num w:numId="4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Formatting/>
  <w:defaultTabStop w:val="567"/>
  <w:hyphenationZone w:val="425"/>
  <w:characterSpacingControl w:val="doNotCompress"/>
  <w:hdrShapeDefaults>
    <o:shapedefaults v:ext="edit" spidmax="57345"/>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2&quot; technicalblockguid=&quot;5655948490233092791&quot;&gt;_x000d__x000a_  &lt;metadata key=&quot;md_DocumentLanguages&quot; translate=&quot;false&quot;&gt;_x000d__x000a_    &lt;basicdatatypelist&gt;_x000d__x000a_      &lt;language key=&quot;SL&quot; text=&quot;SL&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DOPIS&quot; /&gt;_x000d__x000a_    &lt;/basicdatatype&gt;_x000d__x000a_  &lt;/metadata&gt;_x000d__x000a_  &lt;metadata key=&quot;md_HeadingText&quot; translate=&quot;false&quot;&gt;_x000d__x000a_    &lt;headingtext text=&quot;DOPIS&quot;&gt;_x000d__x000a_      &lt;formattedtext&gt;_x000d__x000a_        &lt;xaml text=&quot;DOPIS&quot;&gt;&amp;lt;FlowDocument xmlns=&quot;http://schemas.microsoft.com/winfx/2006/xaml/presentation&quot;&amp;gt;&amp;lt;Paragraph&amp;gt;DOPI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 translate=&quot;false&quot;&gt;_x000d__x000a_    &lt;text&gt;2021-11-12&lt;/text&gt;_x000d__x000a_  &lt;/metadata&gt;_x000d__x000a_  &lt;metadata key=&quot;md_Prefix&quot; translate=&quot;false&quot;&gt;_x000d__x000a_    &lt;text&gt;&lt;/text&gt;_x000d__x000a_  &lt;/metadata&gt;_x000d__x000a_  &lt;metadata key=&quot;md_DocumentNumber&quot; translate=&quot;false&quot;&gt;_x000d__x000a_    &lt;text&gt;13742&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gt;_x000d__x000a_      &lt;text&gt;JEUN 133&lt;/text&gt;_x000d__x000a_    &lt;/textlist&gt;_x000d__x000a_  &lt;/metadata&gt;_x000d__x000a_  &lt;metadata key=&quot;md_Contact&quot; translate=&quot;false&quot;&gt;_x000d__x000a_    &lt;text&gt;&lt;/text&gt;_x000d__x000a_  &lt;/metadata&gt;_x000d__x000a_  &lt;metadata key=&quot;md_ContactPhoneFax&quot; translate=&quot;false&quot;&gt;_x000d__x000a_    &lt;text&gt;&lt;/text&gt;_x000d__x000a_  &lt;/metadata&gt;_x000d__x000a_  &lt;metadata key=&quot;md_MeetingVenue&quot; /&gt;_x000d__x000a_  &lt;metadata key=&quot;md_ProvisionalVersion&quot; translate=&quot;false&quot;&gt;_x000d__x000a_    &lt;text&gt;&lt;/text&gt;_x000d__x000a_  &lt;/metadata&gt;_x000d__x000a_  &lt;metadata key=&quot;md_PresidentInformation&quot; translate=&quot;false&quot;&gt;_x000d__x000a_    &lt;presidents /&gt;_x000d__x000a_  &lt;/metadata&gt;_x000d__x000a_  &lt;metadata key=&quot;md_MeetingNumber&quot; /&gt;_x000d__x000a_  &lt;metadata key=&quot;md_CouncilConfiguration&quot; translate=&quot;false&quot;&gt;_x000d__x000a_    &lt;basicdatatype&gt;_x000d__x000a_      &lt;text&gt;&lt;/text&gt;_x000d__x000a_    &lt;/basicdatatype&gt;_x000d__x000a_  &lt;/metadata&gt;_x000d__x000a_  &lt;metadata key=&quot;md_CouncilIssue&quot; translate=&quot;false&quot;&gt;_x000d__x000a_    &lt;text&gt;&lt;/text&gt;_x000d__x000a_  &lt;/metadata&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translate=&quot;false&quot;&gt;_x000d__x000a_    &lt;questions /&gt;_x000d__x000a_  &lt;/metadata&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09&quot; text=&quot;Generalni sekretariat Sveta&quot; /&gt;_x000d__x000a_    &lt;/basicdatatype&gt;_x000d__x000a_  &lt;/metadata&gt;_x000d__x000a_  &lt;metadata key=&quot;md_Recipient&quot; translate=&quot;false&quot;&gt;_x000d__x000a_    &lt;basicdatatype&gt;_x000d__x000a_      &lt;recipient key=&quot;re_05&quot; text=&quot;Odbor stalnih predstavnikov/Sve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translate=&quot;false&quot;&gt;_x000d__x000a_    &lt;text&gt;&lt;/text&gt;_x000d__x000a_  &lt;/metadata&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translate=&quot;false&quot;&gt;_x000d__x000a_    &lt;text&gt;&lt;/text&gt;_x000d__x000a_  &lt;/metadata&gt;_x000d__x000a_  &lt;metadata key=&quot;md_Item&quot; /&gt;_x000d__x000a_  &lt;metadata key=&quot;md_SubjectPrefix&quot; translate=&quot;false&quot;&gt;_x000d__x000a_    &lt;text&gt;&lt;/text&gt;_x000d__x000a_  &lt;/metadata&gt;_x000d__x000a_  &lt;metadata key=&quot;md_Subject&quot;&gt;_x000d__x000a_    &lt;xaml text=&quot;Za&amp;#353;&amp;#269;ita in ustvarjanje dr&amp;#382;avljanskih prostorov za mlade, ki omogo&amp;#269;ajo participacijo, s katero bodo lahko mladi pustili svoj pe&amp;#269;at &amp;#8211; orientacijska razprava (Javna razprava v skladu s &amp;#269;lenom 8(2) Poslovnika Sveta) [na predlog predsedstva]&quot;&gt;&amp;lt;FlowDocument FontFamily=&quot;Segoe UI&quot; FontSize=&quot;12&quot; PagePadding=&quot;2,2,2,2&quot; AllowDrop=&quot;False&quot; xmlns=&quot;http://schemas.microsoft.com/winfx/2006/xaml/presentation&quot;&amp;gt;&amp;lt;Paragraph&amp;gt;Za&amp;#353;&amp;#269;ita in ustvarjanje dr&amp;#382;avljanskih prostorov za mlade, ki omogo&amp;#269;ajo participacijo, s katero bodo lahko mladi pustili svoj pe&amp;#269;at&amp;lt;/Paragraph&amp;gt;&amp;lt;Paragraph&amp;gt;&amp;lt;Run FontStyle=&quot;Italic&quot;&amp;gt;&amp;#8211; orientacijska razprava&amp;lt;/Run&amp;gt;&amp;lt;/Paragraph&amp;gt;&amp;lt;Paragraph&amp;gt;&amp;lt;Run FontStyle=&quot;Italic&quot;&amp;gt;(Javna razprava v skladu s &amp;#269;lenom 8(2) Poslovnika Sveta)&amp;lt;/Run&amp;gt;&amp;lt;/Paragraph&amp;gt;&amp;lt;Paragraph&amp;gt;&amp;lt;Run FontStyle=&quot;Italic&quot;&amp;gt;[na predlog predsedstva]&amp;lt;/Run&amp;gt;&amp;lt;/Paragraph&amp;gt;&amp;lt;/FlowDocument&amp;gt;&lt;/xaml&gt;_x000d__x000a_  &lt;/metadata&gt;_x000d__x000a_  &lt;metadata key=&quot;md_SubjectFootnote&quot; /&gt;_x000d__x000a_  &lt;metadata key=&quot;md_DG&quot; translate=&quot;false&quot;&gt;_x000d__x000a_    &lt;text&gt;TREE.1.B&lt;/text&gt;_x000d__x000a_  &lt;/metadata&gt;_x000d__x000a_  &lt;metadata key=&quot;md_Initials&quot; translate=&quot;false&quot;&gt;_x000d__x000a_    &lt;text&gt;bj/tal&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21&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VSSDB_IniPath" w:val="\\at100\user\wovo\SEILEG\vss\srcsafe.ini"/>
    <w:docVar w:name="VSSDB_ProjectPath" w:val="$/DocuWrite/DOT/DW_COUNCIL"/>
  </w:docVars>
  <w:rsids>
    <w:rsidRoot w:val="003821AB"/>
    <w:rsid w:val="000061D7"/>
    <w:rsid w:val="00046245"/>
    <w:rsid w:val="00050BC3"/>
    <w:rsid w:val="00082AD6"/>
    <w:rsid w:val="000D05DC"/>
    <w:rsid w:val="00102804"/>
    <w:rsid w:val="00133052"/>
    <w:rsid w:val="001A7055"/>
    <w:rsid w:val="001B1777"/>
    <w:rsid w:val="001B675E"/>
    <w:rsid w:val="001E08C1"/>
    <w:rsid w:val="00206CB3"/>
    <w:rsid w:val="002841AB"/>
    <w:rsid w:val="00297C27"/>
    <w:rsid w:val="002D4B1C"/>
    <w:rsid w:val="002F7E11"/>
    <w:rsid w:val="003271AC"/>
    <w:rsid w:val="003670D8"/>
    <w:rsid w:val="003821AB"/>
    <w:rsid w:val="00454074"/>
    <w:rsid w:val="00497ADF"/>
    <w:rsid w:val="00560050"/>
    <w:rsid w:val="00561C2F"/>
    <w:rsid w:val="005637D5"/>
    <w:rsid w:val="0057741D"/>
    <w:rsid w:val="00593FA8"/>
    <w:rsid w:val="006051B8"/>
    <w:rsid w:val="006211B0"/>
    <w:rsid w:val="0063312A"/>
    <w:rsid w:val="006A7D69"/>
    <w:rsid w:val="006B5A3C"/>
    <w:rsid w:val="00772954"/>
    <w:rsid w:val="007A0CF3"/>
    <w:rsid w:val="007B0E08"/>
    <w:rsid w:val="007C1261"/>
    <w:rsid w:val="007C2071"/>
    <w:rsid w:val="007E0425"/>
    <w:rsid w:val="008146F9"/>
    <w:rsid w:val="008A3A89"/>
    <w:rsid w:val="008B6014"/>
    <w:rsid w:val="008D3C9A"/>
    <w:rsid w:val="008E33DC"/>
    <w:rsid w:val="0092551B"/>
    <w:rsid w:val="009439FF"/>
    <w:rsid w:val="009930AF"/>
    <w:rsid w:val="0099487A"/>
    <w:rsid w:val="009C13E0"/>
    <w:rsid w:val="009C6417"/>
    <w:rsid w:val="00A906A7"/>
    <w:rsid w:val="00A95646"/>
    <w:rsid w:val="00A9708B"/>
    <w:rsid w:val="00AD3A06"/>
    <w:rsid w:val="00B5488B"/>
    <w:rsid w:val="00B9567F"/>
    <w:rsid w:val="00C412BB"/>
    <w:rsid w:val="00C7787F"/>
    <w:rsid w:val="00C92CE8"/>
    <w:rsid w:val="00CF1B49"/>
    <w:rsid w:val="00E03318"/>
    <w:rsid w:val="00E54D21"/>
    <w:rsid w:val="00E61056"/>
    <w:rsid w:val="00EC07F9"/>
    <w:rsid w:val="00EC3B25"/>
    <w:rsid w:val="00F26DD6"/>
    <w:rsid w:val="00F74A14"/>
    <w:rsid w:val="00FB6417"/>
    <w:rsid w:val="00FF6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F89D614D-7EB4-419D-AFDD-4AFB1C87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3821AB"/>
    <w:pPr>
      <w:spacing w:before="0" w:after="440"/>
      <w:ind w:left="-1134" w:right="-1134"/>
    </w:pPr>
    <w:rPr>
      <w:sz w:val="2"/>
    </w:rPr>
  </w:style>
  <w:style w:type="character" w:customStyle="1" w:styleId="TechnicalBlockChar">
    <w:name w:val="Technical Block Char"/>
    <w:basedOn w:val="DefaultParagraphFont"/>
    <w:rsid w:val="003821AB"/>
    <w:rPr>
      <w:rFonts w:ascii="Times New Roman" w:hAnsi="Times New Roman" w:cs="Times New Roman"/>
      <w:sz w:val="24"/>
      <w:lang w:val="sl-SI"/>
    </w:rPr>
  </w:style>
  <w:style w:type="character" w:customStyle="1" w:styleId="HeaderCouncilLargeChar">
    <w:name w:val="Header Council Large Char"/>
    <w:basedOn w:val="TechnicalBlockChar"/>
    <w:link w:val="HeaderCouncilLarge"/>
    <w:rsid w:val="003821AB"/>
    <w:rPr>
      <w:rFonts w:ascii="Times New Roman" w:hAnsi="Times New Roman" w:cs="Times New Roman"/>
      <w:sz w:val="2"/>
      <w:lang w:val="sl-SI"/>
    </w:rPr>
  </w:style>
  <w:style w:type="paragraph" w:customStyle="1" w:styleId="FooterText">
    <w:name w:val="Footer Text"/>
    <w:basedOn w:val="Normal"/>
    <w:rsid w:val="003821AB"/>
    <w:pPr>
      <w:spacing w:before="0" w:after="0" w:line="240" w:lineRule="auto"/>
    </w:pPr>
    <w:rPr>
      <w:rFonts w:eastAsia="Times New Roman"/>
      <w:szCs w:val="24"/>
    </w:rPr>
  </w:style>
  <w:style w:type="character" w:styleId="PlaceholderText">
    <w:name w:val="Placeholder Text"/>
    <w:basedOn w:val="DefaultParagraphFont"/>
    <w:uiPriority w:val="99"/>
    <w:semiHidden/>
    <w:rsid w:val="003821AB"/>
    <w:rPr>
      <w:color w:val="808080"/>
    </w:rPr>
  </w:style>
  <w:style w:type="character" w:styleId="CommentReference">
    <w:name w:val="annotation reference"/>
    <w:basedOn w:val="DefaultParagraphFont"/>
    <w:uiPriority w:val="99"/>
    <w:semiHidden/>
    <w:unhideWhenUsed/>
    <w:rsid w:val="006211B0"/>
    <w:rPr>
      <w:sz w:val="16"/>
      <w:szCs w:val="16"/>
    </w:rPr>
  </w:style>
  <w:style w:type="paragraph" w:styleId="CommentText">
    <w:name w:val="annotation text"/>
    <w:basedOn w:val="Normal"/>
    <w:link w:val="CommentTextChar"/>
    <w:uiPriority w:val="99"/>
    <w:semiHidden/>
    <w:unhideWhenUsed/>
    <w:rsid w:val="006211B0"/>
    <w:pPr>
      <w:spacing w:line="240" w:lineRule="auto"/>
    </w:pPr>
    <w:rPr>
      <w:sz w:val="20"/>
      <w:szCs w:val="20"/>
    </w:rPr>
  </w:style>
  <w:style w:type="character" w:customStyle="1" w:styleId="CommentTextChar">
    <w:name w:val="Comment Text Char"/>
    <w:basedOn w:val="DefaultParagraphFont"/>
    <w:link w:val="CommentText"/>
    <w:uiPriority w:val="99"/>
    <w:semiHidden/>
    <w:rsid w:val="006211B0"/>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6211B0"/>
    <w:rPr>
      <w:b/>
      <w:bCs/>
    </w:rPr>
  </w:style>
  <w:style w:type="character" w:customStyle="1" w:styleId="CommentSubjectChar">
    <w:name w:val="Comment Subject Char"/>
    <w:basedOn w:val="CommentTextChar"/>
    <w:link w:val="CommentSubject"/>
    <w:uiPriority w:val="99"/>
    <w:semiHidden/>
    <w:rsid w:val="006211B0"/>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rsid w:val="006211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B0"/>
    <w:rPr>
      <w:rFonts w:ascii="Segoe UI" w:hAnsi="Segoe UI" w:cs="Segoe UI"/>
      <w:sz w:val="18"/>
      <w:szCs w:val="18"/>
      <w:lang w:val="sl-SI"/>
    </w:rPr>
  </w:style>
  <w:style w:type="character" w:styleId="Hyperlink">
    <w:name w:val="Hyperlink"/>
    <w:basedOn w:val="DefaultParagraphFont"/>
    <w:uiPriority w:val="99"/>
    <w:semiHidden/>
    <w:unhideWhenUsed/>
    <w:rsid w:val="00B9567F"/>
    <w:rPr>
      <w:color w:val="0000FF" w:themeColor="hyperlink"/>
      <w:u w:val="single"/>
    </w:rPr>
  </w:style>
  <w:style w:type="paragraph" w:styleId="ListParagraph">
    <w:name w:val="List Paragraph"/>
    <w:basedOn w:val="Normal"/>
    <w:uiPriority w:val="34"/>
    <w:qFormat/>
    <w:rsid w:val="00B9567F"/>
    <w:pPr>
      <w:spacing w:before="0" w:after="0" w:line="240" w:lineRule="auto"/>
      <w:ind w:left="720"/>
      <w:contextualSpacing/>
    </w:pPr>
    <w:rPr>
      <w:rFonts w:ascii="Calibri" w:eastAsia="Calibri" w:hAnsi="Calibri" w:cs="Calibri"/>
      <w:sz w:val="22"/>
      <w:lang w:eastAsia="sl-SI"/>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sl-SI"/>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sl-SI"/>
    </w:rPr>
  </w:style>
  <w:style w:type="paragraph" w:styleId="FootnoteText">
    <w:name w:val="footnote text"/>
    <w:basedOn w:val="Normal"/>
    <w:link w:val="FootnoteTextChar"/>
    <w:uiPriority w:val="99"/>
    <w:unhideWhenUsed/>
    <w:rsid w:val="00297C2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297C27"/>
    <w:rPr>
      <w:rFonts w:ascii="Times New Roman" w:hAnsi="Times New Roman" w:cs="Times New Roman"/>
      <w:sz w:val="24"/>
      <w:szCs w:val="20"/>
      <w:lang w:val="sl-SI"/>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297C2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E03318"/>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37"/>
      </w:numPr>
    </w:pPr>
  </w:style>
  <w:style w:type="paragraph" w:customStyle="1" w:styleId="Pointabc1">
    <w:name w:val="Point abc (1)"/>
    <w:basedOn w:val="Normal"/>
    <w:rsid w:val="009C6417"/>
    <w:pPr>
      <w:numPr>
        <w:ilvl w:val="3"/>
        <w:numId w:val="37"/>
      </w:numPr>
    </w:pPr>
  </w:style>
  <w:style w:type="paragraph" w:customStyle="1" w:styleId="Pointabc2">
    <w:name w:val="Point abc (2)"/>
    <w:basedOn w:val="Normal"/>
    <w:rsid w:val="009C6417"/>
    <w:pPr>
      <w:numPr>
        <w:ilvl w:val="5"/>
        <w:numId w:val="37"/>
      </w:numPr>
    </w:pPr>
  </w:style>
  <w:style w:type="paragraph" w:customStyle="1" w:styleId="Pointabc3">
    <w:name w:val="Point abc (3)"/>
    <w:basedOn w:val="Normal"/>
    <w:rsid w:val="009C6417"/>
    <w:pPr>
      <w:numPr>
        <w:ilvl w:val="7"/>
        <w:numId w:val="37"/>
      </w:numPr>
    </w:pPr>
  </w:style>
  <w:style w:type="paragraph" w:customStyle="1" w:styleId="Pointabc4">
    <w:name w:val="Point abc (4)"/>
    <w:basedOn w:val="Normal"/>
    <w:rsid w:val="009C6417"/>
    <w:pPr>
      <w:numPr>
        <w:ilvl w:val="8"/>
        <w:numId w:val="37"/>
      </w:numPr>
    </w:pPr>
  </w:style>
  <w:style w:type="paragraph" w:customStyle="1" w:styleId="Point123">
    <w:name w:val="Point 123"/>
    <w:basedOn w:val="Normal"/>
    <w:rsid w:val="009C6417"/>
    <w:pPr>
      <w:numPr>
        <w:numId w:val="37"/>
      </w:numPr>
    </w:pPr>
  </w:style>
  <w:style w:type="paragraph" w:customStyle="1" w:styleId="Point1231">
    <w:name w:val="Point 123 (1)"/>
    <w:basedOn w:val="Normal"/>
    <w:rsid w:val="009C6417"/>
    <w:pPr>
      <w:numPr>
        <w:ilvl w:val="2"/>
        <w:numId w:val="37"/>
      </w:numPr>
    </w:pPr>
  </w:style>
  <w:style w:type="paragraph" w:customStyle="1" w:styleId="Point1232">
    <w:name w:val="Point 123 (2)"/>
    <w:basedOn w:val="Normal"/>
    <w:rsid w:val="009C6417"/>
    <w:pPr>
      <w:numPr>
        <w:ilvl w:val="4"/>
        <w:numId w:val="37"/>
      </w:numPr>
    </w:pPr>
  </w:style>
  <w:style w:type="paragraph" w:customStyle="1" w:styleId="Point1233">
    <w:name w:val="Point 123 (3)"/>
    <w:basedOn w:val="Normal"/>
    <w:rsid w:val="009C6417"/>
    <w:pPr>
      <w:numPr>
        <w:ilvl w:val="6"/>
        <w:numId w:val="37"/>
      </w:numPr>
    </w:pPr>
  </w:style>
  <w:style w:type="paragraph" w:customStyle="1" w:styleId="Pointivx">
    <w:name w:val="Point ivx"/>
    <w:basedOn w:val="Normal"/>
    <w:rsid w:val="009C6417"/>
    <w:pPr>
      <w:numPr>
        <w:numId w:val="38"/>
      </w:numPr>
    </w:pPr>
  </w:style>
  <w:style w:type="paragraph" w:customStyle="1" w:styleId="Pointivx1">
    <w:name w:val="Point ivx (1)"/>
    <w:basedOn w:val="Normal"/>
    <w:rsid w:val="009C6417"/>
    <w:pPr>
      <w:numPr>
        <w:ilvl w:val="1"/>
        <w:numId w:val="38"/>
      </w:numPr>
    </w:pPr>
  </w:style>
  <w:style w:type="paragraph" w:customStyle="1" w:styleId="Pointivx2">
    <w:name w:val="Point ivx (2)"/>
    <w:basedOn w:val="Normal"/>
    <w:rsid w:val="009C6417"/>
    <w:pPr>
      <w:numPr>
        <w:ilvl w:val="2"/>
        <w:numId w:val="38"/>
      </w:numPr>
    </w:pPr>
  </w:style>
  <w:style w:type="paragraph" w:customStyle="1" w:styleId="Pointivx3">
    <w:name w:val="Point ivx (3)"/>
    <w:basedOn w:val="Normal"/>
    <w:rsid w:val="009C6417"/>
    <w:pPr>
      <w:numPr>
        <w:ilvl w:val="3"/>
        <w:numId w:val="38"/>
      </w:numPr>
    </w:pPr>
  </w:style>
  <w:style w:type="paragraph" w:customStyle="1" w:styleId="Pointivx4">
    <w:name w:val="Point ivx (4)"/>
    <w:basedOn w:val="Normal"/>
    <w:rsid w:val="009C6417"/>
    <w:pPr>
      <w:numPr>
        <w:ilvl w:val="4"/>
        <w:numId w:val="38"/>
      </w:numPr>
    </w:pPr>
  </w:style>
  <w:style w:type="paragraph" w:customStyle="1" w:styleId="Bullet">
    <w:name w:val="Bullet"/>
    <w:basedOn w:val="Normal"/>
    <w:rsid w:val="009C6417"/>
    <w:pPr>
      <w:numPr>
        <w:numId w:val="32"/>
      </w:numPr>
    </w:pPr>
  </w:style>
  <w:style w:type="paragraph" w:customStyle="1" w:styleId="Bullet1">
    <w:name w:val="Bullet 1"/>
    <w:basedOn w:val="Normal"/>
    <w:rsid w:val="009C6417"/>
    <w:pPr>
      <w:numPr>
        <w:numId w:val="33"/>
      </w:numPr>
    </w:pPr>
  </w:style>
  <w:style w:type="paragraph" w:customStyle="1" w:styleId="Bullet2">
    <w:name w:val="Bullet 2"/>
    <w:basedOn w:val="Normal"/>
    <w:rsid w:val="009C6417"/>
    <w:pPr>
      <w:numPr>
        <w:numId w:val="34"/>
      </w:numPr>
    </w:pPr>
  </w:style>
  <w:style w:type="paragraph" w:customStyle="1" w:styleId="Bullet3">
    <w:name w:val="Bullet 3"/>
    <w:basedOn w:val="Normal"/>
    <w:rsid w:val="009C6417"/>
    <w:pPr>
      <w:numPr>
        <w:numId w:val="35"/>
      </w:numPr>
    </w:pPr>
  </w:style>
  <w:style w:type="paragraph" w:customStyle="1" w:styleId="Bullet4">
    <w:name w:val="Bullet 4"/>
    <w:basedOn w:val="Normal"/>
    <w:rsid w:val="009C6417"/>
    <w:pPr>
      <w:numPr>
        <w:numId w:val="36"/>
      </w:numPr>
    </w:pPr>
  </w:style>
  <w:style w:type="paragraph" w:customStyle="1" w:styleId="Dash">
    <w:name w:val="Dash"/>
    <w:basedOn w:val="Normal"/>
    <w:rsid w:val="009C6417"/>
    <w:pPr>
      <w:numPr>
        <w:numId w:val="22"/>
      </w:numPr>
    </w:pPr>
  </w:style>
  <w:style w:type="paragraph" w:customStyle="1" w:styleId="Dash1">
    <w:name w:val="Dash 1"/>
    <w:basedOn w:val="Normal"/>
    <w:rsid w:val="009C6417"/>
    <w:pPr>
      <w:numPr>
        <w:numId w:val="23"/>
      </w:numPr>
    </w:pPr>
  </w:style>
  <w:style w:type="paragraph" w:customStyle="1" w:styleId="Dash2">
    <w:name w:val="Dash 2"/>
    <w:basedOn w:val="Normal"/>
    <w:rsid w:val="009C6417"/>
    <w:pPr>
      <w:numPr>
        <w:numId w:val="24"/>
      </w:numPr>
    </w:pPr>
  </w:style>
  <w:style w:type="paragraph" w:customStyle="1" w:styleId="Dash3">
    <w:name w:val="Dash 3"/>
    <w:basedOn w:val="Normal"/>
    <w:rsid w:val="009C6417"/>
    <w:pPr>
      <w:numPr>
        <w:numId w:val="25"/>
      </w:numPr>
    </w:pPr>
  </w:style>
  <w:style w:type="paragraph" w:customStyle="1" w:styleId="Dash4">
    <w:name w:val="Dash 4"/>
    <w:basedOn w:val="Normal"/>
    <w:rsid w:val="009C6417"/>
    <w:pPr>
      <w:numPr>
        <w:numId w:val="26"/>
      </w:numPr>
    </w:pPr>
  </w:style>
  <w:style w:type="paragraph" w:customStyle="1" w:styleId="DashEqual">
    <w:name w:val="Dash Equal"/>
    <w:basedOn w:val="Dash"/>
    <w:rsid w:val="009C6417"/>
    <w:pPr>
      <w:numPr>
        <w:numId w:val="27"/>
      </w:numPr>
    </w:pPr>
  </w:style>
  <w:style w:type="paragraph" w:customStyle="1" w:styleId="DashEqual1">
    <w:name w:val="Dash Equal 1"/>
    <w:basedOn w:val="Dash1"/>
    <w:rsid w:val="009C6417"/>
    <w:pPr>
      <w:numPr>
        <w:numId w:val="28"/>
      </w:numPr>
    </w:pPr>
  </w:style>
  <w:style w:type="paragraph" w:customStyle="1" w:styleId="DashEqual2">
    <w:name w:val="Dash Equal 2"/>
    <w:basedOn w:val="Dash2"/>
    <w:rsid w:val="009C6417"/>
    <w:pPr>
      <w:numPr>
        <w:numId w:val="29"/>
      </w:numPr>
    </w:pPr>
  </w:style>
  <w:style w:type="paragraph" w:customStyle="1" w:styleId="DashEqual3">
    <w:name w:val="Dash Equal 3"/>
    <w:basedOn w:val="Dash3"/>
    <w:rsid w:val="009C6417"/>
    <w:pPr>
      <w:numPr>
        <w:numId w:val="30"/>
      </w:numPr>
    </w:pPr>
  </w:style>
  <w:style w:type="paragraph" w:customStyle="1" w:styleId="DashEqual4">
    <w:name w:val="Dash Equal 4"/>
    <w:basedOn w:val="Dash4"/>
    <w:rsid w:val="009C6417"/>
    <w:pPr>
      <w:numPr>
        <w:numId w:val="31"/>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1"/>
      </w:numPr>
    </w:pPr>
  </w:style>
  <w:style w:type="paragraph" w:customStyle="1" w:styleId="Heading123">
    <w:name w:val="Heading 123"/>
    <w:basedOn w:val="HeadingLeft"/>
    <w:next w:val="Normal"/>
    <w:rsid w:val="009C6417"/>
    <w:pPr>
      <w:numPr>
        <w:numId w:val="40"/>
      </w:numPr>
    </w:pPr>
  </w:style>
  <w:style w:type="paragraph" w:customStyle="1" w:styleId="HeadingABC">
    <w:name w:val="Heading ABC"/>
    <w:basedOn w:val="HeadingLeft"/>
    <w:next w:val="Normal"/>
    <w:rsid w:val="009C6417"/>
    <w:pPr>
      <w:numPr>
        <w:numId w:val="39"/>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5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technology/2021/oct/04/facebook-tearing-our-societies-apart-key-excerpts-from-a-whistleblower-frances-haugen" TargetMode="External"/><Relationship Id="rId1" Type="http://schemas.openxmlformats.org/officeDocument/2006/relationships/hyperlink" Target="https://civicspacewatch.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20C4D-A13C-469D-999E-5FEAC3A6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4</TotalTime>
  <Pages>6</Pages>
  <Words>1147</Words>
  <Characters>7402</Characters>
  <Application>Microsoft Office Word</Application>
  <DocSecurity>0</DocSecurity>
  <Lines>107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OLIVARES Fernanda (External)</dc:creator>
  <cp:keywords/>
  <dc:description/>
  <cp:lastModifiedBy>LUUKKONEN Tuula</cp:lastModifiedBy>
  <cp:revision>6</cp:revision>
  <dcterms:created xsi:type="dcterms:W3CDTF">2021-11-16T14:56:00Z</dcterms:created>
  <dcterms:modified xsi:type="dcterms:W3CDTF">2021-11-16T14:59:00Z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4.5.2, Build 20210531</vt:lpwstr>
  </property>
  <property fmtid="{D5CDD505-2E9C-101B-9397-08002B2CF9AE}" pid="3" name="Last edited using">
    <vt:lpwstr>DocuWrite 4.6.2, Build 20211105</vt:lpwstr>
  </property>
</Properties>
</file>